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 w:cs="方正小标宋_GBK"/>
          <w:b/>
          <w:bCs/>
          <w:color w:val="FF0000"/>
          <w:spacing w:val="50"/>
          <w:w w:val="42"/>
          <w:kern w:val="0"/>
          <w:sz w:val="114"/>
          <w:szCs w:val="11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50"/>
          <w:w w:val="42"/>
          <w:kern w:val="0"/>
          <w:sz w:val="114"/>
          <w:szCs w:val="114"/>
        </w:rPr>
        <w:t>中国人民银行</w:t>
      </w:r>
      <w:r>
        <w:rPr>
          <w:rFonts w:hint="eastAsia" w:ascii="方正小标宋_GBK" w:hAnsi="方正小标宋_GBK" w:eastAsia="方正小标宋_GBK" w:cs="方正小标宋_GBK"/>
          <w:b/>
          <w:bCs/>
          <w:color w:val="FF0000"/>
          <w:spacing w:val="50"/>
          <w:w w:val="42"/>
          <w:kern w:val="0"/>
          <w:sz w:val="114"/>
          <w:szCs w:val="114"/>
          <w:lang w:eastAsia="zh-CN"/>
        </w:rPr>
        <w:t>海南省分行公告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pStyle w:val="5"/>
        <w:spacing w:after="1160" w:line="578" w:lineRule="atLeast"/>
        <w:jc w:val="center"/>
        <w:rPr>
          <w:rFonts w:hint="eastAsia" w:ascii="黑体" w:hAnsi="黑体" w:eastAsia="黑体" w:cs="黑体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</w:rPr>
        <w:t>〔20</w:t>
      </w:r>
      <w:r>
        <w:rPr>
          <w:rFonts w:hint="eastAsia" w:cs="黑体"/>
          <w:sz w:val="32"/>
          <w:highlight w:val="none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highlight w:val="none"/>
        </w:rPr>
        <w:t>〕第</w:t>
      </w:r>
      <w:r>
        <w:rPr>
          <w:rFonts w:hint="eastAsia" w:cs="黑体"/>
          <w:sz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highlight w:val="none"/>
        </w:rPr>
        <w:t xml:space="preserve">号 </w:t>
      </w: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/>
          <w:sz w:val="32"/>
        </w:rPr>
        <w:t>中国人民银行</w:t>
      </w:r>
      <w:r>
        <w:rPr>
          <w:rFonts w:hint="eastAsia" w:ascii="仿宋_GB2312" w:hAnsi="仿宋_GB2312" w:eastAsia="仿宋_GB2312"/>
          <w:sz w:val="32"/>
          <w:lang w:eastAsia="zh-CN"/>
        </w:rPr>
        <w:t>海南省分行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按规定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废止《中国人民银行海口中心支行关于印发〈海南省证券业金融机构重大事项报告制度（暂行）〉的通知》（琼银发〔2013〕75号）、《中国人民银行海口中心支行关于印发〈海南省保险业金融机构重大事项报告制度（试行）〉的通知》（琼银发〔2013〕76号）、《中国人民银行海口中心支行关于印发〈海南省银行业金融机构重大事项报告制度〉的通知》（琼银发〔2014〕175号）等三项规范性文件。</w:t>
      </w: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  <w:highlight w:val="none"/>
        </w:rPr>
      </w:pP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除上述废止的三项规范性文件外，《</w:t>
      </w:r>
      <w:r>
        <w:rPr>
          <w:rFonts w:hint="eastAsia" w:ascii="仿宋_GB2312" w:hAnsi="仿宋_GB2312" w:eastAsia="仿宋_GB2312"/>
          <w:sz w:val="32"/>
          <w:highlight w:val="none"/>
        </w:rPr>
        <w:t>中国人民银行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海口中心支行公告》（〔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2022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〕第</w:t>
      </w:r>
      <w:r>
        <w:rPr>
          <w:rFonts w:hint="eastAsia" w:ascii="仿宋_GB2312" w:hAnsi="仿宋_GB2312" w:eastAsia="仿宋_GB2312"/>
          <w:sz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号）公布的现行有效的</w:t>
      </w:r>
      <w:r>
        <w:rPr>
          <w:rFonts w:hint="eastAsia" w:ascii="仿宋_GB2312" w:hAnsi="仿宋_GB2312" w:eastAsia="仿宋_GB2312"/>
          <w:sz w:val="32"/>
          <w:highlight w:val="none"/>
        </w:rPr>
        <w:t>规范性文件</w:t>
      </w:r>
      <w:r>
        <w:rPr>
          <w:rFonts w:hint="eastAsia" w:ascii="仿宋_GB2312" w:hAnsi="仿宋_GB2312" w:eastAsia="仿宋_GB2312"/>
          <w:sz w:val="32"/>
          <w:highlight w:val="none"/>
          <w:lang w:eastAsia="zh-CN"/>
        </w:rPr>
        <w:t>继续有效。</w:t>
      </w: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</w:p>
    <w:p>
      <w:pPr>
        <w:spacing w:beforeLines="0"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/>
          <w:sz w:val="32"/>
        </w:rPr>
        <w:t>中国人民银行</w:t>
      </w:r>
      <w:r>
        <w:rPr>
          <w:rFonts w:hint="eastAsia" w:ascii="仿宋_GB2312" w:hAnsi="仿宋_GB2312" w:eastAsia="仿宋_GB2312"/>
          <w:sz w:val="32"/>
          <w:lang w:eastAsia="zh-CN"/>
        </w:rPr>
        <w:t>海南省分行</w:t>
      </w:r>
    </w:p>
    <w:p>
      <w:pPr>
        <w:spacing w:beforeLines="0" w:line="560" w:lineRule="exact"/>
      </w:pPr>
      <w:r>
        <w:rPr>
          <w:rFonts w:hint="eastAsia" w:ascii="仿宋_GB2312" w:hAnsi="仿宋_GB2312" w:eastAsia="仿宋_GB2312"/>
          <w:sz w:val="32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/>
          <w:sz w:val="32"/>
        </w:rPr>
        <w:t>20</w:t>
      </w:r>
      <w:r>
        <w:rPr>
          <w:rFonts w:hint="eastAsia" w:ascii="仿宋_GB2312" w:hAnsi="仿宋_GB2312" w:eastAsia="仿宋_GB2312"/>
          <w:sz w:val="32"/>
          <w:lang w:val="en-US" w:eastAsia="zh-CN"/>
        </w:rPr>
        <w:t>23</w:t>
      </w:r>
      <w:r>
        <w:rPr>
          <w:rFonts w:hint="eastAsia" w:ascii="仿宋_GB2312" w:hAnsi="仿宋_GB2312" w:eastAsia="仿宋_GB2312"/>
          <w:sz w:val="32"/>
        </w:rPr>
        <w:t>年</w:t>
      </w:r>
      <w:r>
        <w:rPr>
          <w:rFonts w:hint="eastAsia" w:ascii="仿宋_GB2312" w:hAnsi="仿宋_GB2312" w:eastAsia="仿宋_GB2312"/>
          <w:sz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</w:rPr>
        <w:t>月</w:t>
      </w:r>
      <w:r>
        <w:rPr>
          <w:rFonts w:hint="eastAsia" w:ascii="仿宋_GB2312" w:hAnsi="仿宋_GB2312" w:eastAsia="仿宋_GB2312"/>
          <w:sz w:val="32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</w:rPr>
        <w:t>日</w:t>
      </w:r>
      <w:r>
        <w:rPr>
          <w:rFonts w:hint="eastAsia" w:ascii="黑体" w:eastAsia="黑体"/>
          <w:sz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61F7"/>
    <w:rsid w:val="0D99241E"/>
    <w:rsid w:val="21DD0D70"/>
    <w:rsid w:val="249724FA"/>
    <w:rsid w:val="2A1A38F4"/>
    <w:rsid w:val="3149002E"/>
    <w:rsid w:val="40DA3ED2"/>
    <w:rsid w:val="42BF4715"/>
    <w:rsid w:val="4A8D3A74"/>
    <w:rsid w:val="4C462035"/>
    <w:rsid w:val="4F9E5839"/>
    <w:rsid w:val="5BF158D2"/>
    <w:rsid w:val="5D21746E"/>
    <w:rsid w:val="78722426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cs="Times New Roman"/>
      <w:b/>
      <w:kern w:val="44"/>
      <w:sz w:val="44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CM22"/>
    <w:basedOn w:val="6"/>
    <w:next w:val="6"/>
    <w:unhideWhenUsed/>
    <w:qFormat/>
    <w:uiPriority w:val="99"/>
    <w:rPr>
      <w:rFonts w:hint="eastAsia"/>
      <w:sz w:val="24"/>
    </w:rPr>
  </w:style>
  <w:style w:type="paragraph" w:customStyle="1" w:styleId="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2020-05-11T00:52:00Z</dcterms:created>
  <dc:creator>FtpDown</dc:creator>
  <cp:lastModifiedBy>徐益顺</cp:lastModifiedBy>
  <cp:lastPrinted>2021-07-14T07:34:00Z</cp:lastPrinted>
  <dcterms:modified xsi:type="dcterms:W3CDTF">2023-11-13T08:21:38Z</dcterms:modified>
  <dc:title>中国人民银行海口中心支行公告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