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</w:rPr>
        <w:t>中国人民银行海口中心支行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  <w:lang w:eastAsia="zh-CN"/>
        </w:rPr>
        <w:t>公告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pStyle w:val="5"/>
        <w:spacing w:after="1160" w:line="578" w:lineRule="atLeast"/>
        <w:jc w:val="center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〔20</w:t>
      </w:r>
      <w:r>
        <w:rPr>
          <w:rFonts w:hint="eastAsia" w:cs="黑体"/>
          <w:sz w:val="32"/>
          <w:highlight w:val="none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highlight w:val="none"/>
        </w:rPr>
        <w:t>〕第</w:t>
      </w:r>
      <w:r>
        <w:rPr>
          <w:rFonts w:hint="eastAsia" w:cs="黑体"/>
          <w:sz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highlight w:val="none"/>
        </w:rPr>
        <w:t xml:space="preserve">号 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自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2020年6月2日公示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《中国人民银行海口中心支行公告》（〔2020〕第2号）以来，中国人民银行海口中心支行</w:t>
      </w:r>
      <w:r>
        <w:rPr>
          <w:rFonts w:hint="eastAsia" w:ascii="仿宋_GB2312" w:hAnsi="仿宋_GB2312" w:eastAsia="仿宋_GB2312"/>
          <w:sz w:val="32"/>
          <w:highlight w:val="none"/>
        </w:rPr>
        <w:t>现行有效的主要规范性文件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无更新。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  <w:highlight w:val="none"/>
        </w:rPr>
      </w:pP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/>
          <w:sz w:val="32"/>
          <w:highlight w:val="none"/>
        </w:rPr>
        <w:t>中国人民银行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海口中心支行公告》（〔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2020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〕第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号）和《中国人民银行海口中心支行公告》（〔2020〕第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号）公布的现行有效的</w:t>
      </w:r>
      <w:r>
        <w:rPr>
          <w:rFonts w:hint="eastAsia" w:ascii="仿宋_GB2312" w:hAnsi="仿宋_GB2312" w:eastAsia="仿宋_GB2312"/>
          <w:sz w:val="32"/>
          <w:highlight w:val="none"/>
        </w:rPr>
        <w:t>规范性文件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继续有效。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sz w:val="32"/>
        </w:rPr>
        <w:t>中国人民银行</w:t>
      </w:r>
      <w:r>
        <w:rPr>
          <w:rFonts w:hint="eastAsia" w:ascii="仿宋_GB2312" w:hAnsi="仿宋_GB2312" w:eastAsia="仿宋_GB2312"/>
          <w:sz w:val="32"/>
          <w:lang w:eastAsia="zh-CN"/>
        </w:rPr>
        <w:t>海口中心支行</w:t>
      </w:r>
    </w:p>
    <w:p>
      <w:pPr>
        <w:spacing w:beforeLines="0" w:line="560" w:lineRule="exact"/>
        <w:rPr>
          <w:rFonts w:hint="eastAsia" w:ascii="黑体" w:eastAsia="黑体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21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日</w:t>
      </w:r>
      <w:r>
        <w:rPr>
          <w:rFonts w:hint="eastAsia" w:ascii="黑体" w:eastAsia="黑体"/>
          <w:sz w:val="32"/>
        </w:rPr>
        <w:t xml:space="preserve"> </w:t>
      </w:r>
    </w:p>
    <w:p>
      <w:pPr>
        <w:widowControl/>
        <w:wordWrap/>
        <w:adjustRightInd/>
        <w:snapToGrid/>
        <w:spacing w:before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widowControl/>
        <w:wordWrap/>
        <w:adjustRightInd/>
        <w:snapToGrid/>
        <w:spacing w:before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widowControl/>
        <w:wordWrap/>
        <w:adjustRightInd/>
        <w:snapToGrid/>
        <w:spacing w:before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widowControl/>
        <w:wordWrap/>
        <w:adjustRightInd/>
        <w:snapToGrid/>
        <w:spacing w:before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widowControl/>
        <w:wordWrap/>
        <w:adjustRightInd/>
        <w:snapToGrid/>
        <w:spacing w:before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61F7"/>
    <w:rsid w:val="0D99241E"/>
    <w:rsid w:val="21DD0D70"/>
    <w:rsid w:val="249724FA"/>
    <w:rsid w:val="42BF4715"/>
    <w:rsid w:val="5BF158D2"/>
    <w:rsid w:val="7872242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cs="Times New Roman"/>
      <w:b/>
      <w:kern w:val="44"/>
      <w:sz w:val="4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M22"/>
    <w:basedOn w:val="6"/>
    <w:next w:val="6"/>
    <w:unhideWhenUsed/>
    <w:qFormat/>
    <w:uiPriority w:val="99"/>
    <w:rPr>
      <w:rFonts w:hint="eastAsia"/>
      <w:sz w:val="24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2020-05-11T00:52:00Z</dcterms:created>
  <dc:creator>FtpDown</dc:creator>
  <cp:lastModifiedBy>郑梁仪/法律事务处/海口/PBC</cp:lastModifiedBy>
  <cp:lastPrinted>2021-07-14T07:34:00Z</cp:lastPrinted>
  <dcterms:modified xsi:type="dcterms:W3CDTF">2021-07-16T03:22:18Z</dcterms:modified>
  <dc:title>中国人民银行海口中心支行公告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